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0DB8" w14:textId="77777777" w:rsidR="00425D95" w:rsidRPr="006329D8" w:rsidRDefault="001F54ED">
      <w:pPr>
        <w:spacing w:after="0" w:line="240" w:lineRule="auto"/>
        <w:rPr>
          <w:rFonts w:ascii="Calibri" w:hAnsi="Calibri"/>
          <w:b/>
          <w:lang w:val="en-GB"/>
        </w:rPr>
      </w:pPr>
      <w:r w:rsidRPr="006329D8">
        <w:rPr>
          <w:rFonts w:ascii="Calibri" w:hAnsi="Calibri"/>
          <w:b/>
          <w:lang w:val="en-GB"/>
        </w:rPr>
        <w:t>Press release</w:t>
      </w:r>
    </w:p>
    <w:p w14:paraId="2FAF0670" w14:textId="166D574E" w:rsidR="00425D95" w:rsidRPr="006329D8" w:rsidRDefault="001F54ED">
      <w:pPr>
        <w:spacing w:after="0" w:line="240" w:lineRule="auto"/>
        <w:rPr>
          <w:rFonts w:ascii="Calibri" w:hAnsi="Calibri"/>
          <w:b/>
          <w:lang w:val="en-GB"/>
        </w:rPr>
      </w:pPr>
      <w:r w:rsidRPr="006329D8">
        <w:rPr>
          <w:rFonts w:ascii="Calibri" w:hAnsi="Calibri"/>
          <w:b/>
          <w:lang w:val="en-GB"/>
        </w:rPr>
        <w:t>Bucharest</w:t>
      </w:r>
      <w:r w:rsidR="00127DE4" w:rsidRPr="006329D8">
        <w:rPr>
          <w:rFonts w:ascii="Calibri" w:hAnsi="Calibri"/>
          <w:b/>
          <w:lang w:val="en-GB"/>
        </w:rPr>
        <w:t xml:space="preserve">, </w:t>
      </w:r>
      <w:r w:rsidRPr="006329D8">
        <w:rPr>
          <w:rFonts w:ascii="Calibri" w:hAnsi="Calibri"/>
          <w:b/>
          <w:lang w:val="en-GB"/>
        </w:rPr>
        <w:t xml:space="preserve">April </w:t>
      </w:r>
      <w:r w:rsidR="00C87959">
        <w:rPr>
          <w:rFonts w:ascii="Calibri" w:hAnsi="Calibri"/>
          <w:b/>
          <w:lang w:val="en-GB"/>
        </w:rPr>
        <w:t>9</w:t>
      </w:r>
      <w:r w:rsidR="003E29A0" w:rsidRPr="00C87959">
        <w:rPr>
          <w:rFonts w:ascii="Calibri" w:hAnsi="Calibri"/>
          <w:b/>
          <w:vertAlign w:val="superscript"/>
          <w:lang w:val="en-GB"/>
        </w:rPr>
        <w:t>th</w:t>
      </w:r>
      <w:bookmarkStart w:id="0" w:name="_GoBack"/>
      <w:bookmarkEnd w:id="0"/>
      <w:r w:rsidRPr="006329D8">
        <w:rPr>
          <w:rFonts w:ascii="Calibri" w:hAnsi="Calibri"/>
          <w:b/>
          <w:lang w:val="en-GB"/>
        </w:rPr>
        <w:t xml:space="preserve">, </w:t>
      </w:r>
      <w:r w:rsidR="00127DE4" w:rsidRPr="006329D8">
        <w:rPr>
          <w:rFonts w:ascii="Calibri" w:hAnsi="Calibri"/>
          <w:b/>
          <w:lang w:val="en-GB"/>
        </w:rPr>
        <w:t>2020</w:t>
      </w:r>
    </w:p>
    <w:p w14:paraId="6896D22C" w14:textId="77777777" w:rsidR="00425D95" w:rsidRPr="006329D8" w:rsidRDefault="00425D95">
      <w:pPr>
        <w:rPr>
          <w:rFonts w:ascii="Calibri" w:hAnsi="Calibri"/>
          <w:b/>
          <w:lang w:val="en-GB"/>
        </w:rPr>
      </w:pPr>
    </w:p>
    <w:p w14:paraId="7D09D9DE" w14:textId="77777777" w:rsidR="00CD40C4" w:rsidRPr="006329D8" w:rsidRDefault="003E29A0" w:rsidP="00CD40C4">
      <w:pPr>
        <w:rPr>
          <w:rFonts w:ascii="Calibri" w:hAnsi="Calibri"/>
          <w:b/>
          <w:color w:val="C00000"/>
          <w:lang w:val="en-GB"/>
        </w:rPr>
      </w:pPr>
      <w:r w:rsidRPr="006329D8">
        <w:rPr>
          <w:rFonts w:ascii="Calibri" w:hAnsi="Calibri"/>
          <w:b/>
          <w:color w:val="C00000"/>
          <w:lang w:val="en-GB"/>
        </w:rPr>
        <w:t xml:space="preserve">Following a </w:t>
      </w:r>
      <w:r w:rsidR="0084729D" w:rsidRPr="006329D8">
        <w:rPr>
          <w:rFonts w:ascii="Calibri" w:hAnsi="Calibri"/>
          <w:b/>
          <w:color w:val="C00000"/>
          <w:lang w:val="en-GB"/>
        </w:rPr>
        <w:t xml:space="preserve">decision issued </w:t>
      </w:r>
      <w:r w:rsidR="002222B6" w:rsidRPr="006329D8">
        <w:rPr>
          <w:rFonts w:ascii="Calibri" w:hAnsi="Calibri"/>
          <w:b/>
          <w:color w:val="C00000"/>
          <w:lang w:val="en-GB"/>
        </w:rPr>
        <w:t>by</w:t>
      </w:r>
      <w:r w:rsidRPr="006329D8">
        <w:rPr>
          <w:rFonts w:ascii="Calibri" w:hAnsi="Calibri"/>
          <w:b/>
          <w:color w:val="C00000"/>
          <w:lang w:val="en-GB"/>
        </w:rPr>
        <w:t xml:space="preserve"> </w:t>
      </w:r>
      <w:r w:rsidR="00CD40C4" w:rsidRPr="006329D8">
        <w:rPr>
          <w:rFonts w:ascii="Calibri" w:hAnsi="Calibri"/>
          <w:b/>
          <w:color w:val="C00000"/>
          <w:lang w:val="en-GB"/>
        </w:rPr>
        <w:t>the Court of Justice of the European Union,</w:t>
      </w:r>
    </w:p>
    <w:p w14:paraId="7DF80B76" w14:textId="1F2B43CA" w:rsidR="00CD40C4" w:rsidRPr="006329D8" w:rsidRDefault="00CD40C4" w:rsidP="00CD40C4">
      <w:pPr>
        <w:rPr>
          <w:rFonts w:ascii="Calibri" w:hAnsi="Calibri"/>
          <w:b/>
          <w:color w:val="C00000"/>
          <w:sz w:val="28"/>
          <w:szCs w:val="28"/>
          <w:lang w:val="en-GB"/>
        </w:rPr>
      </w:pPr>
      <w:r w:rsidRPr="006329D8">
        <w:rPr>
          <w:rFonts w:ascii="Calibri" w:hAnsi="Calibri"/>
          <w:b/>
          <w:color w:val="C00000"/>
          <w:sz w:val="28"/>
          <w:szCs w:val="28"/>
          <w:lang w:val="en-GB"/>
        </w:rPr>
        <w:t xml:space="preserve">RTPR </w:t>
      </w:r>
      <w:r w:rsidR="00220A4E" w:rsidRPr="006329D8">
        <w:rPr>
          <w:rFonts w:ascii="Calibri" w:hAnsi="Calibri"/>
          <w:b/>
          <w:color w:val="C00000"/>
          <w:sz w:val="28"/>
          <w:szCs w:val="28"/>
          <w:lang w:val="en-GB"/>
        </w:rPr>
        <w:t>contributes to</w:t>
      </w:r>
      <w:r w:rsidR="003E29A0" w:rsidRPr="006329D8">
        <w:rPr>
          <w:rFonts w:ascii="Calibri" w:hAnsi="Calibri"/>
          <w:b/>
          <w:color w:val="C00000"/>
          <w:sz w:val="28"/>
          <w:szCs w:val="28"/>
          <w:lang w:val="en-GB"/>
        </w:rPr>
        <w:t xml:space="preserve"> EU </w:t>
      </w:r>
      <w:r w:rsidR="007013D8">
        <w:rPr>
          <w:rFonts w:ascii="Calibri" w:hAnsi="Calibri"/>
          <w:b/>
          <w:color w:val="C00000"/>
          <w:sz w:val="28"/>
          <w:szCs w:val="28"/>
          <w:lang w:val="en-GB"/>
        </w:rPr>
        <w:t>law</w:t>
      </w:r>
      <w:r w:rsidR="007013D8" w:rsidRPr="006329D8">
        <w:rPr>
          <w:rFonts w:ascii="Calibri" w:hAnsi="Calibri"/>
          <w:b/>
          <w:color w:val="C00000"/>
          <w:sz w:val="28"/>
          <w:szCs w:val="28"/>
          <w:lang w:val="en-GB"/>
        </w:rPr>
        <w:t xml:space="preserve"> </w:t>
      </w:r>
      <w:r w:rsidR="00220A4E" w:rsidRPr="006329D8">
        <w:rPr>
          <w:rFonts w:ascii="Calibri" w:hAnsi="Calibri"/>
          <w:b/>
          <w:color w:val="C00000"/>
          <w:sz w:val="28"/>
          <w:szCs w:val="28"/>
          <w:lang w:val="en-GB"/>
        </w:rPr>
        <w:t xml:space="preserve">development by clarifying </w:t>
      </w:r>
      <w:r w:rsidR="003E29A0" w:rsidRPr="006329D8">
        <w:rPr>
          <w:rFonts w:ascii="Calibri" w:hAnsi="Calibri"/>
          <w:b/>
          <w:color w:val="C00000"/>
          <w:sz w:val="28"/>
          <w:szCs w:val="28"/>
          <w:lang w:val="en-GB"/>
        </w:rPr>
        <w:t>capital market</w:t>
      </w:r>
      <w:r w:rsidR="00C70892" w:rsidRPr="006329D8">
        <w:rPr>
          <w:rFonts w:ascii="Calibri" w:hAnsi="Calibri"/>
          <w:b/>
          <w:color w:val="C00000"/>
          <w:sz w:val="28"/>
          <w:szCs w:val="28"/>
          <w:lang w:val="en-GB"/>
        </w:rPr>
        <w:t>s</w:t>
      </w:r>
      <w:r w:rsidR="003E29A0" w:rsidRPr="006329D8">
        <w:rPr>
          <w:rFonts w:ascii="Calibri" w:hAnsi="Calibri"/>
          <w:b/>
          <w:color w:val="C00000"/>
          <w:sz w:val="28"/>
          <w:szCs w:val="28"/>
          <w:lang w:val="en-GB"/>
        </w:rPr>
        <w:t xml:space="preserve"> </w:t>
      </w:r>
      <w:r w:rsidRPr="006329D8">
        <w:rPr>
          <w:rFonts w:ascii="Calibri" w:hAnsi="Calibri"/>
          <w:b/>
          <w:color w:val="C00000"/>
          <w:sz w:val="28"/>
          <w:szCs w:val="28"/>
          <w:lang w:val="en-GB"/>
        </w:rPr>
        <w:t>investors</w:t>
      </w:r>
      <w:r w:rsidR="00220A4E" w:rsidRPr="006329D8">
        <w:rPr>
          <w:rFonts w:ascii="Calibri" w:hAnsi="Calibri"/>
          <w:b/>
          <w:color w:val="C00000"/>
          <w:sz w:val="28"/>
          <w:szCs w:val="28"/>
          <w:lang w:val="en-GB"/>
        </w:rPr>
        <w:t>’ rights</w:t>
      </w:r>
    </w:p>
    <w:p w14:paraId="2FDCAAC6" w14:textId="77777777" w:rsidR="00CD40C4" w:rsidRPr="006329D8" w:rsidRDefault="00CD40C4">
      <w:pPr>
        <w:pStyle w:val="NoSpacing"/>
        <w:jc w:val="both"/>
        <w:rPr>
          <w:rFonts w:ascii="Calibri" w:hAnsi="Calibri"/>
          <w:lang w:val="en-GB"/>
        </w:rPr>
      </w:pPr>
    </w:p>
    <w:p w14:paraId="3F903FFA" w14:textId="0FF2CAA2" w:rsidR="00CD40C4" w:rsidRPr="006329D8" w:rsidRDefault="00C87959">
      <w:pPr>
        <w:pStyle w:val="NoSpacing"/>
        <w:jc w:val="both"/>
        <w:rPr>
          <w:rFonts w:ascii="Calibri" w:hAnsi="Calibri"/>
          <w:lang w:val="en-GB"/>
        </w:rPr>
      </w:pPr>
      <w:hyperlink r:id="rId8" w:history="1">
        <w:r w:rsidR="00CD40C4" w:rsidRPr="006329D8">
          <w:rPr>
            <w:rStyle w:val="Hyperlink"/>
            <w:rFonts w:ascii="Calibri" w:hAnsi="Calibri"/>
            <w:lang w:val="en-GB"/>
          </w:rPr>
          <w:t>RTPR</w:t>
        </w:r>
      </w:hyperlink>
      <w:r w:rsidR="00CD40C4" w:rsidRPr="006329D8">
        <w:rPr>
          <w:rFonts w:ascii="Calibri" w:hAnsi="Calibri"/>
          <w:lang w:val="en-GB"/>
        </w:rPr>
        <w:t xml:space="preserve"> has </w:t>
      </w:r>
      <w:r w:rsidR="0084729D" w:rsidRPr="006329D8">
        <w:rPr>
          <w:rFonts w:ascii="Calibri" w:hAnsi="Calibri"/>
          <w:lang w:val="en-GB"/>
        </w:rPr>
        <w:t>obtained</w:t>
      </w:r>
      <w:r w:rsidR="00CD40C4" w:rsidRPr="006329D8">
        <w:rPr>
          <w:rFonts w:ascii="Calibri" w:hAnsi="Calibri"/>
          <w:lang w:val="en-GB"/>
        </w:rPr>
        <w:t xml:space="preserve"> the clarification of the </w:t>
      </w:r>
      <w:r w:rsidR="00CD40C4" w:rsidRPr="006329D8">
        <w:rPr>
          <w:rFonts w:ascii="Calibri" w:hAnsi="Calibri"/>
          <w:i/>
          <w:lang w:val="en-GB"/>
        </w:rPr>
        <w:t>consumer</w:t>
      </w:r>
      <w:r w:rsidR="00CD40C4" w:rsidRPr="006329D8">
        <w:rPr>
          <w:rFonts w:ascii="Calibri" w:hAnsi="Calibri"/>
          <w:lang w:val="en-GB"/>
        </w:rPr>
        <w:t xml:space="preserve"> </w:t>
      </w:r>
      <w:r w:rsidR="007013D8">
        <w:rPr>
          <w:rFonts w:ascii="Calibri" w:hAnsi="Calibri"/>
          <w:lang w:val="en-GB"/>
        </w:rPr>
        <w:t>concept</w:t>
      </w:r>
      <w:r w:rsidR="007013D8" w:rsidRPr="006329D8">
        <w:rPr>
          <w:rFonts w:ascii="Calibri" w:hAnsi="Calibri"/>
          <w:lang w:val="en-GB"/>
        </w:rPr>
        <w:t xml:space="preserve"> </w:t>
      </w:r>
      <w:r w:rsidR="00CD40C4" w:rsidRPr="006329D8">
        <w:rPr>
          <w:rFonts w:ascii="Calibri" w:hAnsi="Calibri"/>
          <w:lang w:val="en-GB"/>
        </w:rPr>
        <w:t xml:space="preserve">for the unprofessional investors trading </w:t>
      </w:r>
      <w:r w:rsidR="003E29A0" w:rsidRPr="006329D8">
        <w:rPr>
          <w:rFonts w:ascii="Calibri" w:hAnsi="Calibri"/>
          <w:lang w:val="en-GB"/>
        </w:rPr>
        <w:t xml:space="preserve">on financial instruments </w:t>
      </w:r>
      <w:r w:rsidR="00CD40C4" w:rsidRPr="006329D8">
        <w:rPr>
          <w:rFonts w:ascii="Calibri" w:hAnsi="Calibri"/>
          <w:lang w:val="en-GB"/>
        </w:rPr>
        <w:t xml:space="preserve">platforms. </w:t>
      </w:r>
      <w:r w:rsidR="003E29A0" w:rsidRPr="006329D8">
        <w:rPr>
          <w:rFonts w:ascii="Calibri" w:hAnsi="Calibri"/>
          <w:lang w:val="en-GB"/>
        </w:rPr>
        <w:t xml:space="preserve">Following a request </w:t>
      </w:r>
      <w:r w:rsidR="007013D8">
        <w:rPr>
          <w:rFonts w:ascii="Calibri" w:hAnsi="Calibri"/>
          <w:lang w:val="en-GB"/>
        </w:rPr>
        <w:t xml:space="preserve">for a preliminary ruling </w:t>
      </w:r>
      <w:r w:rsidR="003E29A0" w:rsidRPr="006329D8">
        <w:rPr>
          <w:rFonts w:ascii="Calibri" w:hAnsi="Calibri"/>
          <w:lang w:val="en-GB"/>
        </w:rPr>
        <w:t xml:space="preserve">from a national </w:t>
      </w:r>
      <w:r w:rsidR="00CD40C4" w:rsidRPr="006329D8">
        <w:rPr>
          <w:rFonts w:ascii="Calibri" w:hAnsi="Calibri"/>
          <w:lang w:val="en-GB"/>
        </w:rPr>
        <w:t xml:space="preserve">court in a </w:t>
      </w:r>
      <w:r w:rsidR="00B71302" w:rsidRPr="006329D8">
        <w:rPr>
          <w:rFonts w:ascii="Calibri" w:hAnsi="Calibri"/>
          <w:lang w:val="en-GB"/>
        </w:rPr>
        <w:t>litigation</w:t>
      </w:r>
      <w:r w:rsidR="00CD40C4" w:rsidRPr="006329D8">
        <w:rPr>
          <w:rFonts w:ascii="Calibri" w:hAnsi="Calibri"/>
          <w:lang w:val="en-GB"/>
        </w:rPr>
        <w:t xml:space="preserve"> </w:t>
      </w:r>
      <w:r w:rsidR="007013D8">
        <w:rPr>
          <w:rFonts w:ascii="Calibri" w:hAnsi="Calibri"/>
          <w:lang w:val="en-GB"/>
        </w:rPr>
        <w:t>conducted</w:t>
      </w:r>
      <w:r w:rsidR="00CD40C4" w:rsidRPr="006329D8">
        <w:rPr>
          <w:rFonts w:ascii="Calibri" w:hAnsi="Calibri"/>
          <w:lang w:val="en-GB"/>
        </w:rPr>
        <w:t xml:space="preserve"> by RTPR, the Court of Justice of the European Union (CJEU) </w:t>
      </w:r>
      <w:r w:rsidR="00B71302" w:rsidRPr="006329D8">
        <w:rPr>
          <w:rFonts w:ascii="Calibri" w:hAnsi="Calibri"/>
          <w:lang w:val="en-GB"/>
        </w:rPr>
        <w:t xml:space="preserve">set clear </w:t>
      </w:r>
      <w:r w:rsidR="00CD40C4" w:rsidRPr="006329D8">
        <w:rPr>
          <w:rFonts w:ascii="Calibri" w:hAnsi="Calibri"/>
          <w:lang w:val="en-GB"/>
        </w:rPr>
        <w:t xml:space="preserve">criteria </w:t>
      </w:r>
      <w:r w:rsidR="007013D8">
        <w:rPr>
          <w:rFonts w:ascii="Calibri" w:hAnsi="Calibri"/>
          <w:lang w:val="en-GB"/>
        </w:rPr>
        <w:t xml:space="preserve">to distinguish </w:t>
      </w:r>
      <w:r w:rsidR="002222B6" w:rsidRPr="006329D8">
        <w:rPr>
          <w:rFonts w:ascii="Calibri" w:hAnsi="Calibri"/>
          <w:lang w:val="en-GB"/>
        </w:rPr>
        <w:t>between the</w:t>
      </w:r>
      <w:r w:rsidR="00CD40C4" w:rsidRPr="006329D8">
        <w:rPr>
          <w:rFonts w:ascii="Calibri" w:hAnsi="Calibri"/>
          <w:lang w:val="en-GB"/>
        </w:rPr>
        <w:t xml:space="preserve"> individual investor</w:t>
      </w:r>
      <w:r w:rsidR="007013D8">
        <w:rPr>
          <w:rFonts w:ascii="Calibri" w:hAnsi="Calibri"/>
          <w:lang w:val="en-GB"/>
        </w:rPr>
        <w:t>s</w:t>
      </w:r>
      <w:r w:rsidR="00CD40C4" w:rsidRPr="006329D8">
        <w:rPr>
          <w:rFonts w:ascii="Calibri" w:hAnsi="Calibri"/>
          <w:lang w:val="en-GB"/>
        </w:rPr>
        <w:t xml:space="preserve"> and the profe</w:t>
      </w:r>
      <w:r w:rsidR="00B71302" w:rsidRPr="006329D8">
        <w:rPr>
          <w:rFonts w:ascii="Calibri" w:hAnsi="Calibri"/>
          <w:lang w:val="en-GB"/>
        </w:rPr>
        <w:t>ssional investor</w:t>
      </w:r>
      <w:r w:rsidR="007013D8">
        <w:rPr>
          <w:rFonts w:ascii="Calibri" w:hAnsi="Calibri"/>
          <w:lang w:val="en-GB"/>
        </w:rPr>
        <w:t>s</w:t>
      </w:r>
      <w:r w:rsidR="00B71302" w:rsidRPr="006329D8">
        <w:rPr>
          <w:rFonts w:ascii="Calibri" w:hAnsi="Calibri"/>
          <w:lang w:val="en-GB"/>
        </w:rPr>
        <w:t>. The European C</w:t>
      </w:r>
      <w:r w:rsidR="00CD40C4" w:rsidRPr="006329D8">
        <w:rPr>
          <w:rFonts w:ascii="Calibri" w:hAnsi="Calibri"/>
          <w:lang w:val="en-GB"/>
        </w:rPr>
        <w:t xml:space="preserve">ourt has </w:t>
      </w:r>
      <w:r w:rsidR="007013D8">
        <w:rPr>
          <w:rFonts w:ascii="Calibri" w:hAnsi="Calibri"/>
          <w:lang w:val="en-GB"/>
        </w:rPr>
        <w:t>ruled</w:t>
      </w:r>
      <w:r w:rsidR="007013D8" w:rsidRPr="006329D8">
        <w:rPr>
          <w:rFonts w:ascii="Calibri" w:hAnsi="Calibri"/>
          <w:lang w:val="en-GB"/>
        </w:rPr>
        <w:t xml:space="preserve"> </w:t>
      </w:r>
      <w:r w:rsidR="00CD40C4" w:rsidRPr="006329D8">
        <w:rPr>
          <w:rFonts w:ascii="Calibri" w:hAnsi="Calibri"/>
          <w:lang w:val="en-GB"/>
        </w:rPr>
        <w:t xml:space="preserve">that the unprofessional investor is </w:t>
      </w:r>
      <w:r w:rsidR="00B71302" w:rsidRPr="006329D8">
        <w:rPr>
          <w:rFonts w:ascii="Calibri" w:hAnsi="Calibri"/>
          <w:lang w:val="en-GB"/>
        </w:rPr>
        <w:t>seen as</w:t>
      </w:r>
      <w:r w:rsidR="00CD40C4" w:rsidRPr="006329D8">
        <w:rPr>
          <w:rFonts w:ascii="Calibri" w:hAnsi="Calibri"/>
          <w:lang w:val="en-GB"/>
        </w:rPr>
        <w:t xml:space="preserve"> </w:t>
      </w:r>
      <w:r w:rsidR="00CD40C4" w:rsidRPr="006329D8">
        <w:rPr>
          <w:rFonts w:ascii="Calibri" w:hAnsi="Calibri"/>
          <w:i/>
          <w:lang w:val="en-GB"/>
        </w:rPr>
        <w:t>consumer</w:t>
      </w:r>
      <w:r w:rsidR="00CD40C4" w:rsidRPr="006329D8">
        <w:rPr>
          <w:rFonts w:ascii="Calibri" w:hAnsi="Calibri"/>
          <w:lang w:val="en-GB"/>
        </w:rPr>
        <w:t xml:space="preserve"> regardless of the volume, value and frequency of the transactions </w:t>
      </w:r>
      <w:r w:rsidR="00B71302" w:rsidRPr="006329D8">
        <w:rPr>
          <w:rFonts w:ascii="Calibri" w:hAnsi="Calibri"/>
          <w:lang w:val="en-GB"/>
        </w:rPr>
        <w:t>carried out</w:t>
      </w:r>
      <w:r w:rsidR="00CD40C4" w:rsidRPr="006329D8">
        <w:rPr>
          <w:rFonts w:ascii="Calibri" w:hAnsi="Calibri"/>
          <w:lang w:val="en-GB"/>
        </w:rPr>
        <w:t xml:space="preserve">, as long as </w:t>
      </w:r>
      <w:r w:rsidR="00B71302" w:rsidRPr="006329D8">
        <w:rPr>
          <w:rFonts w:ascii="Calibri" w:hAnsi="Calibri"/>
          <w:lang w:val="en-GB"/>
        </w:rPr>
        <w:t>it</w:t>
      </w:r>
      <w:r w:rsidR="00CD40C4" w:rsidRPr="006329D8">
        <w:rPr>
          <w:rFonts w:ascii="Calibri" w:hAnsi="Calibri"/>
          <w:lang w:val="en-GB"/>
        </w:rPr>
        <w:t xml:space="preserve"> operate</w:t>
      </w:r>
      <w:r w:rsidR="00B71302" w:rsidRPr="006329D8">
        <w:rPr>
          <w:rFonts w:ascii="Calibri" w:hAnsi="Calibri"/>
          <w:lang w:val="en-GB"/>
        </w:rPr>
        <w:t>s</w:t>
      </w:r>
      <w:r w:rsidR="00CD40C4" w:rsidRPr="006329D8">
        <w:rPr>
          <w:rFonts w:ascii="Calibri" w:hAnsi="Calibri"/>
          <w:lang w:val="en-GB"/>
        </w:rPr>
        <w:t xml:space="preserve"> without a professional title - it is not certified</w:t>
      </w:r>
      <w:r w:rsidR="00B71302" w:rsidRPr="006329D8">
        <w:rPr>
          <w:rFonts w:ascii="Calibri" w:hAnsi="Calibri"/>
          <w:lang w:val="en-GB"/>
        </w:rPr>
        <w:t xml:space="preserve"> and does not provide investment consultancy</w:t>
      </w:r>
      <w:r w:rsidR="00CD40C4" w:rsidRPr="006329D8">
        <w:rPr>
          <w:rFonts w:ascii="Calibri" w:hAnsi="Calibri"/>
          <w:lang w:val="en-GB"/>
        </w:rPr>
        <w:t xml:space="preserve"> or services.</w:t>
      </w:r>
      <w:r w:rsidR="00B71302" w:rsidRPr="006329D8">
        <w:rPr>
          <w:rFonts w:ascii="Calibri" w:hAnsi="Calibri"/>
          <w:lang w:val="en-GB"/>
        </w:rPr>
        <w:t xml:space="preserve"> </w:t>
      </w:r>
    </w:p>
    <w:p w14:paraId="1BF32FB1" w14:textId="77777777" w:rsidR="00425D95" w:rsidRPr="006329D8" w:rsidRDefault="00425D95">
      <w:pPr>
        <w:pStyle w:val="NoSpacing"/>
        <w:jc w:val="both"/>
        <w:rPr>
          <w:rFonts w:ascii="Calibri" w:hAnsi="Calibri"/>
          <w:lang w:val="en-GB"/>
        </w:rPr>
      </w:pPr>
    </w:p>
    <w:p w14:paraId="5B7952EB" w14:textId="77777777" w:rsidR="0084729D" w:rsidRPr="006329D8" w:rsidRDefault="00F52C7A">
      <w:pPr>
        <w:jc w:val="both"/>
        <w:rPr>
          <w:rFonts w:ascii="Calibri" w:hAnsi="Calibri"/>
          <w:lang w:val="en-GB"/>
        </w:rPr>
      </w:pPr>
      <w:r w:rsidRPr="006329D8">
        <w:rPr>
          <w:rFonts w:ascii="Calibri" w:hAnsi="Calibri"/>
          <w:lang w:val="en-GB"/>
        </w:rPr>
        <w:t>Up to</w:t>
      </w:r>
      <w:r w:rsidR="00C37CF7" w:rsidRPr="006329D8">
        <w:rPr>
          <w:rFonts w:ascii="Calibri" w:hAnsi="Calibri"/>
          <w:lang w:val="en-GB"/>
        </w:rPr>
        <w:t xml:space="preserve"> this precedent, courts could</w:t>
      </w:r>
      <w:r w:rsidRPr="006329D8">
        <w:rPr>
          <w:rFonts w:ascii="Calibri" w:hAnsi="Calibri"/>
          <w:lang w:val="en-GB"/>
        </w:rPr>
        <w:t xml:space="preserve"> have ruled</w:t>
      </w:r>
      <w:r w:rsidR="00C37CF7" w:rsidRPr="006329D8">
        <w:rPr>
          <w:rFonts w:ascii="Calibri" w:hAnsi="Calibri"/>
          <w:lang w:val="en-GB"/>
        </w:rPr>
        <w:t xml:space="preserve"> that intense investment activity would qualify </w:t>
      </w:r>
      <w:r w:rsidR="00883318" w:rsidRPr="006329D8">
        <w:rPr>
          <w:rFonts w:ascii="Calibri" w:hAnsi="Calibri"/>
          <w:lang w:val="en-GB"/>
        </w:rPr>
        <w:t xml:space="preserve">natural persons </w:t>
      </w:r>
      <w:r w:rsidR="00C37CF7" w:rsidRPr="006329D8">
        <w:rPr>
          <w:rFonts w:ascii="Calibri" w:hAnsi="Calibri"/>
          <w:lang w:val="en-GB"/>
        </w:rPr>
        <w:t xml:space="preserve">as professional investors, with significant consequences </w:t>
      </w:r>
      <w:r w:rsidRPr="006329D8">
        <w:rPr>
          <w:rFonts w:ascii="Calibri" w:hAnsi="Calibri"/>
          <w:lang w:val="en-GB"/>
        </w:rPr>
        <w:t>for</w:t>
      </w:r>
      <w:r w:rsidR="00C37CF7" w:rsidRPr="006329D8">
        <w:rPr>
          <w:rFonts w:ascii="Calibri" w:hAnsi="Calibri"/>
          <w:lang w:val="en-GB"/>
        </w:rPr>
        <w:t xml:space="preserve"> the rights they can exercise. </w:t>
      </w:r>
      <w:r w:rsidR="00883318" w:rsidRPr="006329D8">
        <w:rPr>
          <w:rFonts w:ascii="Calibri" w:hAnsi="Calibri"/>
          <w:lang w:val="en-GB"/>
        </w:rPr>
        <w:t>More s</w:t>
      </w:r>
      <w:r w:rsidRPr="006329D8">
        <w:rPr>
          <w:rFonts w:ascii="Calibri" w:hAnsi="Calibri"/>
          <w:lang w:val="en-GB"/>
        </w:rPr>
        <w:t>peci</w:t>
      </w:r>
      <w:r w:rsidR="00883318" w:rsidRPr="006329D8">
        <w:rPr>
          <w:rFonts w:ascii="Calibri" w:hAnsi="Calibri"/>
          <w:lang w:val="en-GB"/>
        </w:rPr>
        <w:t>fic</w:t>
      </w:r>
      <w:r w:rsidR="00C37CF7" w:rsidRPr="006329D8">
        <w:rPr>
          <w:rFonts w:ascii="Calibri" w:hAnsi="Calibri"/>
          <w:lang w:val="en-GB"/>
        </w:rPr>
        <w:t>, the d</w:t>
      </w:r>
      <w:r w:rsidRPr="006329D8">
        <w:rPr>
          <w:rFonts w:ascii="Calibri" w:hAnsi="Calibri"/>
          <w:lang w:val="en-GB"/>
        </w:rPr>
        <w:t xml:space="preserve">ecision opens the possibility for </w:t>
      </w:r>
      <w:r w:rsidR="00694629" w:rsidRPr="006329D8">
        <w:rPr>
          <w:rFonts w:ascii="Calibri" w:hAnsi="Calibri"/>
          <w:lang w:val="en-GB"/>
        </w:rPr>
        <w:t>litigations to be carried out before</w:t>
      </w:r>
      <w:r w:rsidRPr="006329D8">
        <w:rPr>
          <w:rFonts w:ascii="Calibri" w:hAnsi="Calibri"/>
          <w:lang w:val="en-GB"/>
        </w:rPr>
        <w:t xml:space="preserve"> national courts</w:t>
      </w:r>
      <w:r w:rsidR="00694629" w:rsidRPr="006329D8">
        <w:rPr>
          <w:rFonts w:ascii="Calibri" w:hAnsi="Calibri"/>
          <w:lang w:val="en-GB"/>
        </w:rPr>
        <w:t xml:space="preserve"> in the </w:t>
      </w:r>
      <w:r w:rsidR="00883318" w:rsidRPr="006329D8">
        <w:rPr>
          <w:rFonts w:ascii="Calibri" w:hAnsi="Calibri"/>
          <w:lang w:val="en-GB"/>
        </w:rPr>
        <w:t xml:space="preserve">investor’s </w:t>
      </w:r>
      <w:r w:rsidR="00234170" w:rsidRPr="006329D8">
        <w:rPr>
          <w:rFonts w:ascii="Calibri" w:hAnsi="Calibri"/>
          <w:lang w:val="en-GB"/>
        </w:rPr>
        <w:t xml:space="preserve">country of residence, thus </w:t>
      </w:r>
      <w:r w:rsidR="00883318" w:rsidRPr="006329D8">
        <w:rPr>
          <w:rFonts w:ascii="Calibri" w:hAnsi="Calibri"/>
          <w:lang w:val="en-GB"/>
        </w:rPr>
        <w:t xml:space="preserve">facilitating their </w:t>
      </w:r>
      <w:r w:rsidR="00234170" w:rsidRPr="006329D8">
        <w:rPr>
          <w:rFonts w:ascii="Calibri" w:hAnsi="Calibri"/>
          <w:lang w:val="en-GB"/>
        </w:rPr>
        <w:t xml:space="preserve">access to justice. </w:t>
      </w:r>
    </w:p>
    <w:p w14:paraId="586EF55C" w14:textId="77777777" w:rsidR="00883318" w:rsidRPr="006329D8" w:rsidRDefault="00C37CF7" w:rsidP="00DF255E">
      <w:pPr>
        <w:pStyle w:val="NoSpacing"/>
        <w:spacing w:after="240"/>
        <w:jc w:val="both"/>
        <w:rPr>
          <w:rFonts w:ascii="Calibri" w:hAnsi="Calibri"/>
          <w:i/>
          <w:lang w:val="en-GB"/>
        </w:rPr>
      </w:pPr>
      <w:r w:rsidRPr="006329D8">
        <w:rPr>
          <w:rFonts w:ascii="Calibri" w:hAnsi="Calibri"/>
          <w:i/>
          <w:lang w:val="en-GB"/>
        </w:rPr>
        <w:t xml:space="preserve">"We are very pleased that the </w:t>
      </w:r>
      <w:r w:rsidR="00234170" w:rsidRPr="006329D8">
        <w:rPr>
          <w:rFonts w:ascii="Calibri" w:hAnsi="Calibri"/>
          <w:i/>
          <w:lang w:val="en-GB"/>
        </w:rPr>
        <w:t>EU Court has</w:t>
      </w:r>
      <w:r w:rsidRPr="006329D8">
        <w:rPr>
          <w:rFonts w:ascii="Calibri" w:hAnsi="Calibri"/>
          <w:i/>
          <w:lang w:val="en-GB"/>
        </w:rPr>
        <w:t xml:space="preserve"> embraced </w:t>
      </w:r>
      <w:r w:rsidR="00883318" w:rsidRPr="006329D8">
        <w:rPr>
          <w:rFonts w:ascii="Calibri" w:hAnsi="Calibri"/>
          <w:i/>
          <w:lang w:val="en-GB"/>
        </w:rPr>
        <w:t xml:space="preserve">our </w:t>
      </w:r>
      <w:r w:rsidRPr="006329D8">
        <w:rPr>
          <w:rFonts w:ascii="Calibri" w:hAnsi="Calibri"/>
          <w:i/>
          <w:lang w:val="en-GB"/>
        </w:rPr>
        <w:t>interpretation</w:t>
      </w:r>
      <w:r w:rsidR="00BD36BB" w:rsidRPr="006329D8">
        <w:rPr>
          <w:rFonts w:ascii="Calibri" w:hAnsi="Calibri"/>
          <w:i/>
          <w:lang w:val="en-GB"/>
        </w:rPr>
        <w:t>. Th</w:t>
      </w:r>
      <w:r w:rsidR="008A1AFD" w:rsidRPr="006329D8">
        <w:rPr>
          <w:rFonts w:ascii="Calibri" w:hAnsi="Calibri"/>
          <w:i/>
          <w:lang w:val="en-GB"/>
        </w:rPr>
        <w:t>is</w:t>
      </w:r>
      <w:r w:rsidR="00BD36BB" w:rsidRPr="006329D8">
        <w:rPr>
          <w:rFonts w:ascii="Calibri" w:hAnsi="Calibri"/>
          <w:i/>
          <w:lang w:val="en-GB"/>
        </w:rPr>
        <w:t xml:space="preserve"> CJEU </w:t>
      </w:r>
      <w:r w:rsidR="008A1AFD" w:rsidRPr="006329D8">
        <w:rPr>
          <w:rFonts w:ascii="Calibri" w:hAnsi="Calibri"/>
          <w:i/>
          <w:lang w:val="en-GB"/>
        </w:rPr>
        <w:t xml:space="preserve">decision </w:t>
      </w:r>
      <w:r w:rsidR="00BD36BB" w:rsidRPr="006329D8">
        <w:rPr>
          <w:rFonts w:ascii="Calibri" w:hAnsi="Calibri"/>
          <w:i/>
          <w:lang w:val="en-GB"/>
        </w:rPr>
        <w:t xml:space="preserve">sets </w:t>
      </w:r>
      <w:r w:rsidRPr="006329D8">
        <w:rPr>
          <w:rFonts w:ascii="Calibri" w:hAnsi="Calibri"/>
          <w:i/>
          <w:lang w:val="en-GB"/>
        </w:rPr>
        <w:t xml:space="preserve">a </w:t>
      </w:r>
      <w:r w:rsidR="008A1AFD" w:rsidRPr="006329D8">
        <w:rPr>
          <w:rFonts w:ascii="Calibri" w:hAnsi="Calibri"/>
          <w:i/>
          <w:lang w:val="en-GB"/>
        </w:rPr>
        <w:t xml:space="preserve">legal </w:t>
      </w:r>
      <w:r w:rsidRPr="006329D8">
        <w:rPr>
          <w:rFonts w:ascii="Calibri" w:hAnsi="Calibri"/>
          <w:i/>
          <w:lang w:val="en-GB"/>
        </w:rPr>
        <w:t xml:space="preserve">precedent that produces effects </w:t>
      </w:r>
      <w:r w:rsidR="008A1AFD" w:rsidRPr="006329D8">
        <w:rPr>
          <w:rFonts w:ascii="Calibri" w:hAnsi="Calibri"/>
          <w:i/>
          <w:lang w:val="en-GB"/>
        </w:rPr>
        <w:t xml:space="preserve">at </w:t>
      </w:r>
      <w:r w:rsidRPr="006329D8">
        <w:rPr>
          <w:rFonts w:ascii="Calibri" w:hAnsi="Calibri"/>
          <w:i/>
          <w:lang w:val="en-GB"/>
        </w:rPr>
        <w:t>Europ</w:t>
      </w:r>
      <w:r w:rsidR="00C8763B" w:rsidRPr="006329D8">
        <w:rPr>
          <w:rFonts w:ascii="Calibri" w:hAnsi="Calibri"/>
          <w:i/>
          <w:lang w:val="en-GB"/>
        </w:rPr>
        <w:t>e</w:t>
      </w:r>
      <w:r w:rsidR="008A1AFD" w:rsidRPr="006329D8">
        <w:rPr>
          <w:rFonts w:ascii="Calibri" w:hAnsi="Calibri"/>
          <w:i/>
          <w:lang w:val="en-GB"/>
        </w:rPr>
        <w:t>an level</w:t>
      </w:r>
      <w:r w:rsidR="00C8763B" w:rsidRPr="006329D8">
        <w:rPr>
          <w:rFonts w:ascii="Calibri" w:hAnsi="Calibri"/>
          <w:i/>
          <w:lang w:val="en-GB"/>
        </w:rPr>
        <w:t xml:space="preserve">. Following the decision in </w:t>
      </w:r>
      <w:r w:rsidR="00A42CB2" w:rsidRPr="006329D8">
        <w:rPr>
          <w:rFonts w:ascii="Calibri" w:hAnsi="Calibri"/>
          <w:i/>
          <w:lang w:val="en-GB"/>
        </w:rPr>
        <w:t>the</w:t>
      </w:r>
      <w:r w:rsidR="00C8763B" w:rsidRPr="006329D8">
        <w:rPr>
          <w:rFonts w:ascii="Calibri" w:hAnsi="Calibri"/>
          <w:i/>
          <w:lang w:val="en-GB"/>
        </w:rPr>
        <w:t xml:space="preserve"> </w:t>
      </w:r>
      <w:r w:rsidRPr="006329D8">
        <w:rPr>
          <w:rFonts w:ascii="Calibri" w:hAnsi="Calibri"/>
          <w:i/>
          <w:lang w:val="en-GB"/>
        </w:rPr>
        <w:t xml:space="preserve">case </w:t>
      </w:r>
      <w:r w:rsidR="00234170" w:rsidRPr="006329D8">
        <w:rPr>
          <w:rFonts w:ascii="Calibri" w:hAnsi="Calibri"/>
          <w:i/>
          <w:lang w:val="en-GB"/>
        </w:rPr>
        <w:t xml:space="preserve">we </w:t>
      </w:r>
      <w:r w:rsidR="008A1AFD" w:rsidRPr="006329D8">
        <w:rPr>
          <w:rFonts w:ascii="Calibri" w:hAnsi="Calibri"/>
          <w:i/>
          <w:lang w:val="en-GB"/>
        </w:rPr>
        <w:t>are representing</w:t>
      </w:r>
      <w:r w:rsidRPr="006329D8">
        <w:rPr>
          <w:rFonts w:ascii="Calibri" w:hAnsi="Calibri"/>
          <w:i/>
          <w:lang w:val="en-GB"/>
        </w:rPr>
        <w:t xml:space="preserve">, the </w:t>
      </w:r>
      <w:r w:rsidR="00832586" w:rsidRPr="006329D8">
        <w:rPr>
          <w:rFonts w:ascii="Calibri" w:hAnsi="Calibri"/>
          <w:i/>
          <w:lang w:val="en-GB"/>
        </w:rPr>
        <w:t xml:space="preserve">investors’ </w:t>
      </w:r>
      <w:r w:rsidR="006F373F" w:rsidRPr="006329D8">
        <w:rPr>
          <w:rFonts w:ascii="Calibri" w:hAnsi="Calibri"/>
          <w:i/>
          <w:lang w:val="en-GB"/>
        </w:rPr>
        <w:t>rights in</w:t>
      </w:r>
      <w:r w:rsidRPr="006329D8">
        <w:rPr>
          <w:rFonts w:ascii="Calibri" w:hAnsi="Calibri"/>
          <w:i/>
          <w:lang w:val="en-GB"/>
        </w:rPr>
        <w:t xml:space="preserve"> the European Union are</w:t>
      </w:r>
      <w:r w:rsidR="00234170" w:rsidRPr="006329D8">
        <w:rPr>
          <w:rFonts w:ascii="Calibri" w:hAnsi="Calibri"/>
          <w:i/>
          <w:lang w:val="en-GB"/>
        </w:rPr>
        <w:t xml:space="preserve"> now </w:t>
      </w:r>
      <w:r w:rsidR="00593C77" w:rsidRPr="006329D8">
        <w:rPr>
          <w:rFonts w:ascii="Calibri" w:hAnsi="Calibri"/>
          <w:i/>
          <w:lang w:val="en-GB"/>
        </w:rPr>
        <w:t>clarified</w:t>
      </w:r>
      <w:r w:rsidR="00234170" w:rsidRPr="006329D8">
        <w:rPr>
          <w:rFonts w:ascii="Calibri" w:hAnsi="Calibri"/>
          <w:i/>
          <w:lang w:val="en-GB"/>
        </w:rPr>
        <w:t xml:space="preserve"> </w:t>
      </w:r>
      <w:r w:rsidR="00832586" w:rsidRPr="006329D8">
        <w:rPr>
          <w:rFonts w:ascii="Calibri" w:hAnsi="Calibri"/>
          <w:i/>
          <w:lang w:val="en-GB"/>
        </w:rPr>
        <w:t xml:space="preserve">and </w:t>
      </w:r>
      <w:r w:rsidR="00593C77" w:rsidRPr="006329D8">
        <w:rPr>
          <w:rFonts w:ascii="Calibri" w:hAnsi="Calibri"/>
          <w:i/>
          <w:lang w:val="en-GB"/>
        </w:rPr>
        <w:t>reinforced</w:t>
      </w:r>
      <w:r w:rsidR="00832586" w:rsidRPr="006329D8">
        <w:rPr>
          <w:rFonts w:ascii="Calibri" w:hAnsi="Calibri"/>
          <w:i/>
          <w:lang w:val="en-GB"/>
        </w:rPr>
        <w:t xml:space="preserve">. </w:t>
      </w:r>
      <w:r w:rsidR="006F373F" w:rsidRPr="006329D8">
        <w:rPr>
          <w:rFonts w:ascii="Calibri" w:hAnsi="Calibri"/>
          <w:i/>
          <w:lang w:val="en-GB"/>
        </w:rPr>
        <w:t>This will</w:t>
      </w:r>
      <w:r w:rsidRPr="006329D8">
        <w:rPr>
          <w:rFonts w:ascii="Calibri" w:hAnsi="Calibri"/>
          <w:i/>
          <w:lang w:val="en-GB"/>
        </w:rPr>
        <w:t xml:space="preserve"> </w:t>
      </w:r>
      <w:r w:rsidR="00832586" w:rsidRPr="006329D8">
        <w:rPr>
          <w:rFonts w:ascii="Calibri" w:hAnsi="Calibri"/>
          <w:i/>
          <w:lang w:val="en-GB"/>
        </w:rPr>
        <w:t xml:space="preserve">bring </w:t>
      </w:r>
      <w:r w:rsidR="006F373F" w:rsidRPr="006329D8">
        <w:rPr>
          <w:rFonts w:ascii="Calibri" w:hAnsi="Calibri"/>
          <w:i/>
          <w:lang w:val="en-GB"/>
        </w:rPr>
        <w:t>more transparency</w:t>
      </w:r>
      <w:r w:rsidRPr="006329D8">
        <w:rPr>
          <w:rFonts w:ascii="Calibri" w:hAnsi="Calibri"/>
          <w:i/>
          <w:lang w:val="en-GB"/>
        </w:rPr>
        <w:t xml:space="preserve"> and </w:t>
      </w:r>
      <w:r w:rsidR="00593C77" w:rsidRPr="006329D8">
        <w:rPr>
          <w:rFonts w:ascii="Calibri" w:hAnsi="Calibri"/>
          <w:i/>
          <w:lang w:val="en-GB"/>
        </w:rPr>
        <w:t xml:space="preserve">will </w:t>
      </w:r>
      <w:r w:rsidR="00832586" w:rsidRPr="006329D8">
        <w:rPr>
          <w:rFonts w:ascii="Calibri" w:hAnsi="Calibri"/>
          <w:i/>
          <w:lang w:val="en-GB"/>
        </w:rPr>
        <w:t>improve the relation</w:t>
      </w:r>
      <w:r w:rsidR="00593C77" w:rsidRPr="006329D8">
        <w:rPr>
          <w:rFonts w:ascii="Calibri" w:hAnsi="Calibri"/>
          <w:i/>
          <w:lang w:val="en-GB"/>
        </w:rPr>
        <w:t>ship with</w:t>
      </w:r>
      <w:r w:rsidR="00832586" w:rsidRPr="006329D8">
        <w:rPr>
          <w:rFonts w:ascii="Calibri" w:hAnsi="Calibri"/>
          <w:i/>
          <w:lang w:val="en-GB"/>
        </w:rPr>
        <w:t xml:space="preserve"> </w:t>
      </w:r>
      <w:r w:rsidR="00593C77" w:rsidRPr="006329D8">
        <w:rPr>
          <w:rFonts w:ascii="Calibri" w:hAnsi="Calibri"/>
          <w:i/>
          <w:lang w:val="en-GB"/>
        </w:rPr>
        <w:t>investment</w:t>
      </w:r>
      <w:r w:rsidR="006F373F" w:rsidRPr="006329D8">
        <w:rPr>
          <w:rFonts w:ascii="Calibri" w:hAnsi="Calibri"/>
          <w:i/>
          <w:lang w:val="en-GB"/>
        </w:rPr>
        <w:t xml:space="preserve"> platforms </w:t>
      </w:r>
      <w:r w:rsidR="00593C77" w:rsidRPr="006329D8">
        <w:rPr>
          <w:rFonts w:ascii="Calibri" w:hAnsi="Calibri"/>
          <w:i/>
          <w:lang w:val="en-GB"/>
        </w:rPr>
        <w:t>operators</w:t>
      </w:r>
      <w:r w:rsidR="006F373F" w:rsidRPr="006329D8">
        <w:rPr>
          <w:rFonts w:ascii="Calibri" w:hAnsi="Calibri"/>
          <w:i/>
          <w:lang w:val="en-GB"/>
        </w:rPr>
        <w:t xml:space="preserve">, stimulating </w:t>
      </w:r>
      <w:r w:rsidRPr="006329D8">
        <w:rPr>
          <w:rFonts w:ascii="Calibri" w:hAnsi="Calibri"/>
          <w:i/>
          <w:lang w:val="en-GB"/>
        </w:rPr>
        <w:t>trading in</w:t>
      </w:r>
      <w:r w:rsidR="00593C77" w:rsidRPr="006329D8">
        <w:rPr>
          <w:rFonts w:ascii="Calibri" w:hAnsi="Calibri"/>
          <w:i/>
          <w:lang w:val="en-GB"/>
        </w:rPr>
        <w:t xml:space="preserve"> a</w:t>
      </w:r>
      <w:r w:rsidRPr="006329D8">
        <w:rPr>
          <w:rFonts w:ascii="Calibri" w:hAnsi="Calibri"/>
          <w:i/>
          <w:lang w:val="en-GB"/>
        </w:rPr>
        <w:t xml:space="preserve"> safe and predictable </w:t>
      </w:r>
      <w:r w:rsidR="006F373F" w:rsidRPr="006329D8">
        <w:rPr>
          <w:rFonts w:ascii="Calibri" w:hAnsi="Calibri"/>
          <w:i/>
          <w:lang w:val="en-GB"/>
        </w:rPr>
        <w:t>environment</w:t>
      </w:r>
      <w:r w:rsidRPr="006329D8">
        <w:rPr>
          <w:rFonts w:ascii="Calibri" w:hAnsi="Calibri"/>
          <w:i/>
          <w:lang w:val="en-GB"/>
        </w:rPr>
        <w:t>,"</w:t>
      </w:r>
      <w:r w:rsidR="00593C77" w:rsidRPr="006329D8">
        <w:rPr>
          <w:rFonts w:ascii="Calibri" w:hAnsi="Calibri"/>
          <w:i/>
          <w:lang w:val="en-GB"/>
        </w:rPr>
        <w:t xml:space="preserve"> </w:t>
      </w:r>
      <w:r w:rsidRPr="006329D8">
        <w:rPr>
          <w:rFonts w:ascii="Calibri" w:hAnsi="Calibri"/>
          <w:lang w:val="en-GB"/>
        </w:rPr>
        <w:t>said Valentin Berea, RTPR Partner.</w:t>
      </w:r>
    </w:p>
    <w:p w14:paraId="33C7AB28" w14:textId="5EAD6FFF" w:rsidR="002C009E" w:rsidRPr="006329D8" w:rsidRDefault="002C009E">
      <w:pPr>
        <w:pStyle w:val="NoSpacing"/>
        <w:jc w:val="both"/>
        <w:rPr>
          <w:rFonts w:ascii="Calibri" w:hAnsi="Calibri"/>
          <w:lang w:val="en-GB"/>
        </w:rPr>
      </w:pPr>
      <w:r w:rsidRPr="006329D8">
        <w:rPr>
          <w:rFonts w:ascii="Calibri" w:hAnsi="Calibri"/>
          <w:i/>
          <w:lang w:val="en-GB"/>
        </w:rPr>
        <w:t xml:space="preserve">"For RTPR, </w:t>
      </w:r>
      <w:r w:rsidR="00593C77" w:rsidRPr="006329D8">
        <w:rPr>
          <w:rFonts w:ascii="Calibri" w:hAnsi="Calibri"/>
          <w:i/>
          <w:lang w:val="en-GB"/>
        </w:rPr>
        <w:t xml:space="preserve">this </w:t>
      </w:r>
      <w:r w:rsidRPr="006329D8">
        <w:rPr>
          <w:rFonts w:ascii="Calibri" w:hAnsi="Calibri"/>
          <w:i/>
          <w:lang w:val="en-GB"/>
        </w:rPr>
        <w:t xml:space="preserve">decision </w:t>
      </w:r>
      <w:r w:rsidR="00593C77" w:rsidRPr="006329D8">
        <w:rPr>
          <w:rFonts w:ascii="Calibri" w:hAnsi="Calibri"/>
          <w:i/>
          <w:lang w:val="en-GB"/>
        </w:rPr>
        <w:t>re</w:t>
      </w:r>
      <w:r w:rsidR="006F373F" w:rsidRPr="006329D8">
        <w:rPr>
          <w:rFonts w:ascii="Calibri" w:hAnsi="Calibri"/>
          <w:i/>
          <w:lang w:val="en-GB"/>
        </w:rPr>
        <w:t xml:space="preserve">confirms the competences of our office </w:t>
      </w:r>
      <w:r w:rsidRPr="006329D8">
        <w:rPr>
          <w:rFonts w:ascii="Calibri" w:hAnsi="Calibri"/>
          <w:i/>
          <w:lang w:val="en-GB"/>
        </w:rPr>
        <w:t xml:space="preserve">and </w:t>
      </w:r>
      <w:r w:rsidR="006F373F" w:rsidRPr="006329D8">
        <w:rPr>
          <w:rFonts w:ascii="Calibri" w:hAnsi="Calibri"/>
          <w:i/>
          <w:lang w:val="en-GB"/>
        </w:rPr>
        <w:t xml:space="preserve">our </w:t>
      </w:r>
      <w:r w:rsidRPr="006329D8">
        <w:rPr>
          <w:rFonts w:ascii="Calibri" w:hAnsi="Calibri"/>
          <w:i/>
          <w:lang w:val="en-GB"/>
        </w:rPr>
        <w:t xml:space="preserve">ability to </w:t>
      </w:r>
      <w:r w:rsidR="00593C77" w:rsidRPr="006329D8">
        <w:rPr>
          <w:rFonts w:ascii="Calibri" w:hAnsi="Calibri"/>
          <w:i/>
          <w:lang w:val="en-GB"/>
        </w:rPr>
        <w:t xml:space="preserve">contribute to the </w:t>
      </w:r>
      <w:r w:rsidR="00E97FEE" w:rsidRPr="006329D8">
        <w:rPr>
          <w:rFonts w:ascii="Calibri" w:hAnsi="Calibri"/>
          <w:i/>
          <w:lang w:val="en-GB"/>
        </w:rPr>
        <w:t xml:space="preserve">EU law </w:t>
      </w:r>
      <w:r w:rsidR="00593C77" w:rsidRPr="006329D8">
        <w:rPr>
          <w:rFonts w:ascii="Calibri" w:hAnsi="Calibri"/>
          <w:i/>
          <w:lang w:val="en-GB"/>
        </w:rPr>
        <w:t>development</w:t>
      </w:r>
      <w:r w:rsidR="00DF255E" w:rsidRPr="006329D8">
        <w:rPr>
          <w:rFonts w:ascii="Calibri" w:hAnsi="Calibri"/>
          <w:i/>
          <w:lang w:val="en-GB"/>
        </w:rPr>
        <w:t xml:space="preserve"> </w:t>
      </w:r>
      <w:r w:rsidRPr="006329D8">
        <w:rPr>
          <w:rFonts w:ascii="Calibri" w:hAnsi="Calibri"/>
          <w:i/>
          <w:lang w:val="en-GB"/>
        </w:rPr>
        <w:t>through a precedent tha</w:t>
      </w:r>
      <w:r w:rsidR="00DF255E" w:rsidRPr="006329D8">
        <w:rPr>
          <w:rFonts w:ascii="Calibri" w:hAnsi="Calibri"/>
          <w:i/>
          <w:lang w:val="en-GB"/>
        </w:rPr>
        <w:t xml:space="preserve">t will become a </w:t>
      </w:r>
      <w:r w:rsidR="008A7477" w:rsidRPr="006329D8">
        <w:rPr>
          <w:rFonts w:ascii="Calibri" w:hAnsi="Calibri"/>
          <w:i/>
          <w:lang w:val="en-GB"/>
        </w:rPr>
        <w:t xml:space="preserve">point of </w:t>
      </w:r>
      <w:r w:rsidR="00DF255E" w:rsidRPr="006329D8">
        <w:rPr>
          <w:rFonts w:ascii="Calibri" w:hAnsi="Calibri"/>
          <w:i/>
          <w:lang w:val="en-GB"/>
        </w:rPr>
        <w:t xml:space="preserve">reference for further rulings in </w:t>
      </w:r>
      <w:r w:rsidRPr="006329D8">
        <w:rPr>
          <w:rFonts w:ascii="Calibri" w:hAnsi="Calibri"/>
          <w:i/>
          <w:lang w:val="en-GB"/>
        </w:rPr>
        <w:t>similar cases by other courts of the Member States,"</w:t>
      </w:r>
      <w:r w:rsidRPr="006329D8">
        <w:rPr>
          <w:rFonts w:ascii="Calibri" w:hAnsi="Calibri"/>
          <w:lang w:val="en-GB"/>
        </w:rPr>
        <w:t xml:space="preserve"> added Andrada Rusan, Associate </w:t>
      </w:r>
      <w:r w:rsidR="008A7477" w:rsidRPr="006329D8">
        <w:rPr>
          <w:rFonts w:ascii="Calibri" w:hAnsi="Calibri"/>
          <w:lang w:val="en-GB"/>
        </w:rPr>
        <w:t xml:space="preserve">at </w:t>
      </w:r>
      <w:r w:rsidRPr="006329D8">
        <w:rPr>
          <w:rFonts w:ascii="Calibri" w:hAnsi="Calibri"/>
          <w:lang w:val="en-GB"/>
        </w:rPr>
        <w:t>RTPR.</w:t>
      </w:r>
    </w:p>
    <w:p w14:paraId="0DFDE41E" w14:textId="77777777" w:rsidR="00425D95" w:rsidRPr="006329D8" w:rsidRDefault="00425D95">
      <w:pPr>
        <w:pStyle w:val="NoSpacing"/>
        <w:jc w:val="both"/>
        <w:rPr>
          <w:lang w:val="en-GB"/>
        </w:rPr>
      </w:pPr>
    </w:p>
    <w:p w14:paraId="60250A6B" w14:textId="77777777" w:rsidR="0031352E" w:rsidRPr="006329D8" w:rsidRDefault="00C87959">
      <w:pPr>
        <w:jc w:val="both"/>
        <w:rPr>
          <w:lang w:val="en-GB"/>
        </w:rPr>
      </w:pPr>
      <w:hyperlink r:id="rId9" w:history="1">
        <w:r w:rsidR="0031352E" w:rsidRPr="006329D8">
          <w:rPr>
            <w:rStyle w:val="Hyperlink"/>
            <w:lang w:val="en-GB"/>
          </w:rPr>
          <w:t>RTPR</w:t>
        </w:r>
      </w:hyperlink>
      <w:r w:rsidR="0031352E" w:rsidRPr="006329D8">
        <w:rPr>
          <w:lang w:val="en-GB"/>
        </w:rPr>
        <w:t xml:space="preserve"> is one of the most experienced and </w:t>
      </w:r>
      <w:r w:rsidR="008A7477" w:rsidRPr="006329D8">
        <w:rPr>
          <w:lang w:val="en-GB"/>
        </w:rPr>
        <w:t xml:space="preserve">appreciated </w:t>
      </w:r>
      <w:r w:rsidR="0031352E" w:rsidRPr="006329D8">
        <w:rPr>
          <w:lang w:val="en-GB"/>
        </w:rPr>
        <w:t xml:space="preserve">law firms in Romania, </w:t>
      </w:r>
      <w:r w:rsidR="008A7477" w:rsidRPr="006329D8">
        <w:rPr>
          <w:lang w:val="en-GB"/>
        </w:rPr>
        <w:t xml:space="preserve">recognised </w:t>
      </w:r>
      <w:r w:rsidR="0031352E" w:rsidRPr="006329D8">
        <w:rPr>
          <w:lang w:val="en-GB"/>
        </w:rPr>
        <w:t>by Legal 500, C</w:t>
      </w:r>
      <w:r w:rsidR="00A42CB2" w:rsidRPr="006329D8">
        <w:rPr>
          <w:lang w:val="en-GB"/>
        </w:rPr>
        <w:t xml:space="preserve">hambers and IFLR1000 - </w:t>
      </w:r>
      <w:r w:rsidR="008A7477" w:rsidRPr="006329D8">
        <w:rPr>
          <w:lang w:val="en-GB"/>
        </w:rPr>
        <w:t xml:space="preserve">the most reputed </w:t>
      </w:r>
      <w:r w:rsidR="0031352E" w:rsidRPr="006329D8">
        <w:rPr>
          <w:lang w:val="en-GB"/>
        </w:rPr>
        <w:t xml:space="preserve">international legal guides - which </w:t>
      </w:r>
      <w:r w:rsidR="000742CA" w:rsidRPr="006329D8">
        <w:rPr>
          <w:lang w:val="en-GB"/>
        </w:rPr>
        <w:t>constantly</w:t>
      </w:r>
      <w:r w:rsidR="0031352E" w:rsidRPr="006329D8">
        <w:rPr>
          <w:lang w:val="en-GB"/>
        </w:rPr>
        <w:t xml:space="preserve"> include RTPR </w:t>
      </w:r>
      <w:r w:rsidR="008A7477" w:rsidRPr="006329D8">
        <w:rPr>
          <w:lang w:val="en-GB"/>
        </w:rPr>
        <w:t>on top tiers in their</w:t>
      </w:r>
      <w:r w:rsidR="00A42CB2" w:rsidRPr="006329D8">
        <w:rPr>
          <w:lang w:val="en-GB"/>
        </w:rPr>
        <w:t xml:space="preserve"> ranking</w:t>
      </w:r>
      <w:r w:rsidR="008A7477" w:rsidRPr="006329D8">
        <w:rPr>
          <w:lang w:val="en-GB"/>
        </w:rPr>
        <w:t>s</w:t>
      </w:r>
      <w:r w:rsidR="00A42CB2" w:rsidRPr="006329D8">
        <w:rPr>
          <w:lang w:val="en-GB"/>
        </w:rPr>
        <w:t xml:space="preserve"> </w:t>
      </w:r>
      <w:r w:rsidR="0031352E" w:rsidRPr="006329D8">
        <w:rPr>
          <w:lang w:val="en-GB"/>
        </w:rPr>
        <w:t xml:space="preserve">for </w:t>
      </w:r>
      <w:r w:rsidR="00A42CB2" w:rsidRPr="006329D8">
        <w:rPr>
          <w:lang w:val="en-GB"/>
        </w:rPr>
        <w:t>vario</w:t>
      </w:r>
      <w:r w:rsidR="008A7477" w:rsidRPr="006329D8">
        <w:rPr>
          <w:lang w:val="en-GB"/>
        </w:rPr>
        <w:t>u</w:t>
      </w:r>
      <w:r w:rsidR="00A42CB2" w:rsidRPr="006329D8">
        <w:rPr>
          <w:lang w:val="en-GB"/>
        </w:rPr>
        <w:t>s</w:t>
      </w:r>
      <w:r w:rsidR="0031352E" w:rsidRPr="006329D8">
        <w:rPr>
          <w:lang w:val="en-GB"/>
        </w:rPr>
        <w:t xml:space="preserve"> </w:t>
      </w:r>
      <w:r w:rsidR="00A42CB2" w:rsidRPr="006329D8">
        <w:rPr>
          <w:lang w:val="en-GB"/>
        </w:rPr>
        <w:t>practice areas: Corporate/M&amp;</w:t>
      </w:r>
      <w:r w:rsidR="0031352E" w:rsidRPr="006329D8">
        <w:rPr>
          <w:lang w:val="en-GB"/>
        </w:rPr>
        <w:t xml:space="preserve">A </w:t>
      </w:r>
      <w:r w:rsidR="00A42CB2" w:rsidRPr="006329D8">
        <w:rPr>
          <w:lang w:val="en-GB"/>
        </w:rPr>
        <w:t>–</w:t>
      </w:r>
      <w:r w:rsidR="0031352E" w:rsidRPr="006329D8">
        <w:rPr>
          <w:lang w:val="en-GB"/>
        </w:rPr>
        <w:t xml:space="preserve"> </w:t>
      </w:r>
      <w:r w:rsidR="008A7477" w:rsidRPr="006329D8">
        <w:rPr>
          <w:lang w:val="en-GB"/>
        </w:rPr>
        <w:t>ranked first</w:t>
      </w:r>
      <w:r w:rsidR="00A42CB2" w:rsidRPr="006329D8">
        <w:rPr>
          <w:lang w:val="en-GB"/>
        </w:rPr>
        <w:t xml:space="preserve"> in all 3 rankings, Banking</w:t>
      </w:r>
      <w:r w:rsidR="008A7477" w:rsidRPr="006329D8">
        <w:rPr>
          <w:lang w:val="en-GB"/>
        </w:rPr>
        <w:t xml:space="preserve"> </w:t>
      </w:r>
      <w:r w:rsidR="00A42CB2" w:rsidRPr="006329D8">
        <w:rPr>
          <w:lang w:val="en-GB"/>
        </w:rPr>
        <w:t>&amp;</w:t>
      </w:r>
      <w:r w:rsidR="008A7477" w:rsidRPr="006329D8">
        <w:rPr>
          <w:lang w:val="en-GB"/>
        </w:rPr>
        <w:t xml:space="preserve"> </w:t>
      </w:r>
      <w:r w:rsidR="00A42CB2" w:rsidRPr="006329D8">
        <w:rPr>
          <w:lang w:val="en-GB"/>
        </w:rPr>
        <w:t xml:space="preserve">Finance </w:t>
      </w:r>
      <w:r w:rsidR="008A7477" w:rsidRPr="006329D8">
        <w:rPr>
          <w:lang w:val="en-GB"/>
        </w:rPr>
        <w:t>–</w:t>
      </w:r>
      <w:r w:rsidR="0031352E" w:rsidRPr="006329D8">
        <w:rPr>
          <w:lang w:val="en-GB"/>
        </w:rPr>
        <w:t xml:space="preserve"> </w:t>
      </w:r>
      <w:r w:rsidR="008A7477" w:rsidRPr="006329D8">
        <w:rPr>
          <w:lang w:val="en-GB"/>
        </w:rPr>
        <w:t xml:space="preserve">ranked </w:t>
      </w:r>
      <w:r w:rsidR="0031352E" w:rsidRPr="006329D8">
        <w:rPr>
          <w:lang w:val="en-GB"/>
        </w:rPr>
        <w:t xml:space="preserve">first in Legal 500 for the </w:t>
      </w:r>
      <w:r w:rsidR="008A7477" w:rsidRPr="006329D8">
        <w:rPr>
          <w:lang w:val="en-GB"/>
        </w:rPr>
        <w:t xml:space="preserve">9th </w:t>
      </w:r>
      <w:r w:rsidR="0031352E" w:rsidRPr="006329D8">
        <w:rPr>
          <w:lang w:val="en-GB"/>
        </w:rPr>
        <w:t xml:space="preserve">consecutive year </w:t>
      </w:r>
      <w:r w:rsidR="008A7477" w:rsidRPr="006329D8">
        <w:rPr>
          <w:lang w:val="en-GB"/>
        </w:rPr>
        <w:t xml:space="preserve">and </w:t>
      </w:r>
      <w:r w:rsidR="0031352E" w:rsidRPr="006329D8">
        <w:rPr>
          <w:lang w:val="en-GB"/>
        </w:rPr>
        <w:t xml:space="preserve">for the </w:t>
      </w:r>
      <w:r w:rsidR="008A7477" w:rsidRPr="006329D8">
        <w:rPr>
          <w:lang w:val="en-GB"/>
        </w:rPr>
        <w:t xml:space="preserve">4th </w:t>
      </w:r>
      <w:r w:rsidR="0031352E" w:rsidRPr="006329D8">
        <w:rPr>
          <w:lang w:val="en-GB"/>
        </w:rPr>
        <w:t>consecutive</w:t>
      </w:r>
      <w:r w:rsidR="00A42CB2" w:rsidRPr="006329D8">
        <w:rPr>
          <w:lang w:val="en-GB"/>
        </w:rPr>
        <w:t xml:space="preserve"> year</w:t>
      </w:r>
      <w:r w:rsidR="008A7477" w:rsidRPr="006329D8">
        <w:rPr>
          <w:lang w:val="en-GB"/>
        </w:rPr>
        <w:t xml:space="preserve"> in IFLR1000</w:t>
      </w:r>
      <w:r w:rsidR="00A42CB2" w:rsidRPr="006329D8">
        <w:rPr>
          <w:lang w:val="en-GB"/>
        </w:rPr>
        <w:t xml:space="preserve">, Capital Markets </w:t>
      </w:r>
      <w:r w:rsidR="008A7477" w:rsidRPr="006329D8">
        <w:rPr>
          <w:lang w:val="en-GB"/>
        </w:rPr>
        <w:t>–</w:t>
      </w:r>
      <w:r w:rsidR="00A42CB2" w:rsidRPr="006329D8">
        <w:rPr>
          <w:lang w:val="en-GB"/>
        </w:rPr>
        <w:t xml:space="preserve"> </w:t>
      </w:r>
      <w:r w:rsidR="008A7477" w:rsidRPr="006329D8">
        <w:rPr>
          <w:lang w:val="en-GB"/>
        </w:rPr>
        <w:t xml:space="preserve">ranked </w:t>
      </w:r>
      <w:r w:rsidR="0031352E" w:rsidRPr="006329D8">
        <w:rPr>
          <w:lang w:val="en-GB"/>
        </w:rPr>
        <w:t>first in IFLR1</w:t>
      </w:r>
      <w:r w:rsidR="00A42CB2" w:rsidRPr="006329D8">
        <w:rPr>
          <w:lang w:val="en-GB"/>
        </w:rPr>
        <w:t xml:space="preserve">000 for the </w:t>
      </w:r>
      <w:r w:rsidR="008A7477" w:rsidRPr="006329D8">
        <w:rPr>
          <w:lang w:val="en-GB"/>
        </w:rPr>
        <w:t xml:space="preserve">6th consecutive </w:t>
      </w:r>
      <w:r w:rsidR="00A42CB2" w:rsidRPr="006329D8">
        <w:rPr>
          <w:lang w:val="en-GB"/>
        </w:rPr>
        <w:t>year</w:t>
      </w:r>
      <w:r w:rsidR="00220A4E" w:rsidRPr="006329D8">
        <w:rPr>
          <w:lang w:val="en-GB"/>
        </w:rPr>
        <w:t>, while</w:t>
      </w:r>
      <w:r w:rsidR="00A42CB2" w:rsidRPr="006329D8">
        <w:rPr>
          <w:lang w:val="en-GB"/>
        </w:rPr>
        <w:t xml:space="preserve"> </w:t>
      </w:r>
      <w:r w:rsidR="0031352E" w:rsidRPr="006329D8">
        <w:rPr>
          <w:lang w:val="en-GB"/>
        </w:rPr>
        <w:t xml:space="preserve">Dispute Resolution, Competition and Energy and Natural Resources </w:t>
      </w:r>
      <w:r w:rsidR="00220A4E" w:rsidRPr="006329D8">
        <w:rPr>
          <w:lang w:val="en-GB"/>
        </w:rPr>
        <w:t xml:space="preserve">practices </w:t>
      </w:r>
      <w:r w:rsidR="0031352E" w:rsidRPr="006329D8">
        <w:rPr>
          <w:lang w:val="en-GB"/>
        </w:rPr>
        <w:t xml:space="preserve">are ranked </w:t>
      </w:r>
      <w:r w:rsidR="00A42CB2" w:rsidRPr="006329D8">
        <w:rPr>
          <w:lang w:val="en-GB"/>
        </w:rPr>
        <w:t xml:space="preserve">in the </w:t>
      </w:r>
      <w:r w:rsidR="0031352E" w:rsidRPr="006329D8">
        <w:rPr>
          <w:lang w:val="en-GB"/>
        </w:rPr>
        <w:t>second</w:t>
      </w:r>
      <w:r w:rsidR="00A42CB2" w:rsidRPr="006329D8">
        <w:rPr>
          <w:lang w:val="en-GB"/>
        </w:rPr>
        <w:t xml:space="preserve"> </w:t>
      </w:r>
      <w:r w:rsidR="00220A4E" w:rsidRPr="006329D8">
        <w:rPr>
          <w:lang w:val="en-GB"/>
        </w:rPr>
        <w:t xml:space="preserve">tier </w:t>
      </w:r>
      <w:r w:rsidR="0031352E" w:rsidRPr="006329D8">
        <w:rPr>
          <w:lang w:val="en-GB"/>
        </w:rPr>
        <w:t xml:space="preserve">in </w:t>
      </w:r>
      <w:r w:rsidR="00220A4E" w:rsidRPr="006329D8">
        <w:rPr>
          <w:lang w:val="en-GB"/>
        </w:rPr>
        <w:t xml:space="preserve">the </w:t>
      </w:r>
      <w:r w:rsidR="00A42CB2" w:rsidRPr="006329D8">
        <w:rPr>
          <w:lang w:val="en-GB"/>
        </w:rPr>
        <w:t>most recent edition</w:t>
      </w:r>
      <w:r w:rsidR="00220A4E" w:rsidRPr="006329D8">
        <w:rPr>
          <w:lang w:val="en-GB"/>
        </w:rPr>
        <w:t xml:space="preserve"> of Legal 500</w:t>
      </w:r>
      <w:r w:rsidR="00A42CB2" w:rsidRPr="006329D8">
        <w:rPr>
          <w:lang w:val="en-GB"/>
        </w:rPr>
        <w:t xml:space="preserve">. </w:t>
      </w:r>
    </w:p>
    <w:p w14:paraId="080D9B91" w14:textId="77777777" w:rsidR="0031352E" w:rsidRPr="006329D8" w:rsidRDefault="0031352E" w:rsidP="0031352E">
      <w:pPr>
        <w:jc w:val="both"/>
        <w:rPr>
          <w:lang w:val="en-GB"/>
        </w:rPr>
      </w:pPr>
      <w:r w:rsidRPr="006329D8">
        <w:rPr>
          <w:lang w:val="en-GB"/>
        </w:rPr>
        <w:t xml:space="preserve">Radu Tărăcilă Pădurari Retevoescu SCA (RTPR) is owned by </w:t>
      </w:r>
      <w:r w:rsidR="00220A4E" w:rsidRPr="006329D8">
        <w:rPr>
          <w:lang w:val="en-GB"/>
        </w:rPr>
        <w:t>partners</w:t>
      </w:r>
      <w:r w:rsidRPr="006329D8">
        <w:rPr>
          <w:lang w:val="en-GB"/>
        </w:rPr>
        <w:t xml:space="preserve"> Costin Tărăcilă, Victor Pădurari, Alexandru Retevoescu, Mihai Ristici, Valentin Berea and Alina Stăvaru.</w:t>
      </w:r>
    </w:p>
    <w:p w14:paraId="0D15C459" w14:textId="77777777" w:rsidR="002222B6" w:rsidRPr="006329D8" w:rsidRDefault="002222B6" w:rsidP="0031352E">
      <w:pPr>
        <w:jc w:val="both"/>
        <w:rPr>
          <w:lang w:val="en-GB"/>
        </w:rPr>
      </w:pPr>
    </w:p>
    <w:p w14:paraId="171A466D" w14:textId="77777777" w:rsidR="002222B6" w:rsidRPr="006329D8" w:rsidRDefault="002222B6" w:rsidP="0031352E">
      <w:pPr>
        <w:jc w:val="both"/>
        <w:rPr>
          <w:lang w:val="en-GB"/>
        </w:rPr>
      </w:pPr>
    </w:p>
    <w:p w14:paraId="660C90FF" w14:textId="77777777" w:rsidR="00425D95" w:rsidRPr="006329D8" w:rsidRDefault="0031352E" w:rsidP="00A42CB2">
      <w:pPr>
        <w:jc w:val="both"/>
        <w:rPr>
          <w:i/>
          <w:sz w:val="20"/>
          <w:szCs w:val="20"/>
          <w:lang w:val="en-GB"/>
        </w:rPr>
      </w:pPr>
      <w:r w:rsidRPr="006329D8">
        <w:rPr>
          <w:i/>
          <w:sz w:val="20"/>
          <w:szCs w:val="20"/>
          <w:lang w:val="en-GB"/>
        </w:rPr>
        <w:t>Press contact - Răzvan Năstase, Free Communication, razvan.nastase@freecomm.ro</w:t>
      </w:r>
    </w:p>
    <w:sectPr w:rsidR="00425D95" w:rsidRPr="006329D8" w:rsidSect="00127DE4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27C6F" w14:textId="77777777" w:rsidR="00BF47C4" w:rsidRDefault="00BF47C4">
      <w:pPr>
        <w:spacing w:after="0" w:line="240" w:lineRule="auto"/>
      </w:pPr>
      <w:r>
        <w:separator/>
      </w:r>
    </w:p>
  </w:endnote>
  <w:endnote w:type="continuationSeparator" w:id="0">
    <w:p w14:paraId="38B412D7" w14:textId="77777777" w:rsidR="00BF47C4" w:rsidRDefault="00BF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33217" w14:textId="77777777" w:rsidR="00BF47C4" w:rsidRDefault="00BF47C4">
      <w:pPr>
        <w:spacing w:after="0" w:line="240" w:lineRule="auto"/>
      </w:pPr>
      <w:r>
        <w:separator/>
      </w:r>
    </w:p>
  </w:footnote>
  <w:footnote w:type="continuationSeparator" w:id="0">
    <w:p w14:paraId="044D8A39" w14:textId="77777777" w:rsidR="00BF47C4" w:rsidRDefault="00BF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A343" w14:textId="77777777" w:rsidR="00425D95" w:rsidRDefault="00127DE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907AB1" wp14:editId="5DBFB1C4">
          <wp:simplePos x="0" y="0"/>
          <wp:positionH relativeFrom="column">
            <wp:posOffset>2000250</wp:posOffset>
          </wp:positionH>
          <wp:positionV relativeFrom="paragraph">
            <wp:posOffset>-85725</wp:posOffset>
          </wp:positionV>
          <wp:extent cx="1828800" cy="70993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01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D5"/>
    <w:rsid w:val="0000585D"/>
    <w:rsid w:val="00050227"/>
    <w:rsid w:val="000742CA"/>
    <w:rsid w:val="00077BC3"/>
    <w:rsid w:val="000A68D0"/>
    <w:rsid w:val="000B41C4"/>
    <w:rsid w:val="000B6545"/>
    <w:rsid w:val="000E098E"/>
    <w:rsid w:val="000F758A"/>
    <w:rsid w:val="00102079"/>
    <w:rsid w:val="001150E6"/>
    <w:rsid w:val="00127DE4"/>
    <w:rsid w:val="0015439C"/>
    <w:rsid w:val="001B4DB3"/>
    <w:rsid w:val="001D09C1"/>
    <w:rsid w:val="001E09EA"/>
    <w:rsid w:val="001F54ED"/>
    <w:rsid w:val="001F589C"/>
    <w:rsid w:val="002052B8"/>
    <w:rsid w:val="00206074"/>
    <w:rsid w:val="00220A4E"/>
    <w:rsid w:val="002222B6"/>
    <w:rsid w:val="00234170"/>
    <w:rsid w:val="00243A61"/>
    <w:rsid w:val="002759B7"/>
    <w:rsid w:val="002B016B"/>
    <w:rsid w:val="002C009E"/>
    <w:rsid w:val="002C5262"/>
    <w:rsid w:val="003036E7"/>
    <w:rsid w:val="0031352E"/>
    <w:rsid w:val="00335D8B"/>
    <w:rsid w:val="0033650B"/>
    <w:rsid w:val="003403ED"/>
    <w:rsid w:val="00394873"/>
    <w:rsid w:val="003E049D"/>
    <w:rsid w:val="003E29A0"/>
    <w:rsid w:val="003F50DE"/>
    <w:rsid w:val="004156AB"/>
    <w:rsid w:val="00425D95"/>
    <w:rsid w:val="004A1B4B"/>
    <w:rsid w:val="005265DC"/>
    <w:rsid w:val="005751B4"/>
    <w:rsid w:val="00593C77"/>
    <w:rsid w:val="005A170C"/>
    <w:rsid w:val="005C5FAF"/>
    <w:rsid w:val="005D1296"/>
    <w:rsid w:val="00601F53"/>
    <w:rsid w:val="00623F49"/>
    <w:rsid w:val="006329D8"/>
    <w:rsid w:val="00680259"/>
    <w:rsid w:val="00694629"/>
    <w:rsid w:val="006F373F"/>
    <w:rsid w:val="007013D8"/>
    <w:rsid w:val="007020A3"/>
    <w:rsid w:val="007569E4"/>
    <w:rsid w:val="007B0A18"/>
    <w:rsid w:val="007B3E03"/>
    <w:rsid w:val="008014CC"/>
    <w:rsid w:val="0082213E"/>
    <w:rsid w:val="00832586"/>
    <w:rsid w:val="0084138E"/>
    <w:rsid w:val="0084729D"/>
    <w:rsid w:val="00861CBD"/>
    <w:rsid w:val="00865C5A"/>
    <w:rsid w:val="00883318"/>
    <w:rsid w:val="008A1AFD"/>
    <w:rsid w:val="008A7477"/>
    <w:rsid w:val="008E5206"/>
    <w:rsid w:val="00957D71"/>
    <w:rsid w:val="00962F32"/>
    <w:rsid w:val="009A62A7"/>
    <w:rsid w:val="009B6C2D"/>
    <w:rsid w:val="009D7428"/>
    <w:rsid w:val="00A42CB2"/>
    <w:rsid w:val="00AD690D"/>
    <w:rsid w:val="00AE25D0"/>
    <w:rsid w:val="00B40E7B"/>
    <w:rsid w:val="00B502C8"/>
    <w:rsid w:val="00B71302"/>
    <w:rsid w:val="00B730C3"/>
    <w:rsid w:val="00BD36BB"/>
    <w:rsid w:val="00BF47C4"/>
    <w:rsid w:val="00C135A0"/>
    <w:rsid w:val="00C37CF7"/>
    <w:rsid w:val="00C52345"/>
    <w:rsid w:val="00C70892"/>
    <w:rsid w:val="00C76767"/>
    <w:rsid w:val="00C836F2"/>
    <w:rsid w:val="00C843B1"/>
    <w:rsid w:val="00C8763B"/>
    <w:rsid w:val="00C87959"/>
    <w:rsid w:val="00C92270"/>
    <w:rsid w:val="00C94FEB"/>
    <w:rsid w:val="00C9637C"/>
    <w:rsid w:val="00CA2EF7"/>
    <w:rsid w:val="00CD40C4"/>
    <w:rsid w:val="00CE0381"/>
    <w:rsid w:val="00CE4378"/>
    <w:rsid w:val="00D057F5"/>
    <w:rsid w:val="00D34933"/>
    <w:rsid w:val="00D56789"/>
    <w:rsid w:val="00D672D3"/>
    <w:rsid w:val="00D74BBB"/>
    <w:rsid w:val="00DC736B"/>
    <w:rsid w:val="00DC7BB1"/>
    <w:rsid w:val="00DD1375"/>
    <w:rsid w:val="00DE0AD6"/>
    <w:rsid w:val="00DE1D06"/>
    <w:rsid w:val="00DF255E"/>
    <w:rsid w:val="00E322BB"/>
    <w:rsid w:val="00E42F91"/>
    <w:rsid w:val="00E473D5"/>
    <w:rsid w:val="00E63403"/>
    <w:rsid w:val="00E85A02"/>
    <w:rsid w:val="00E97FEE"/>
    <w:rsid w:val="00EA4FBD"/>
    <w:rsid w:val="00EA5ED3"/>
    <w:rsid w:val="00F1053B"/>
    <w:rsid w:val="00F52C7A"/>
    <w:rsid w:val="00F81141"/>
    <w:rsid w:val="00FA2388"/>
    <w:rsid w:val="00FA247C"/>
    <w:rsid w:val="00FB6282"/>
    <w:rsid w:val="00FC7947"/>
    <w:rsid w:val="00FD32AB"/>
    <w:rsid w:val="00FE6DC2"/>
    <w:rsid w:val="01AB5C09"/>
    <w:rsid w:val="1BA067FE"/>
    <w:rsid w:val="20541825"/>
    <w:rsid w:val="35931998"/>
    <w:rsid w:val="648D30B8"/>
    <w:rsid w:val="68F04A55"/>
    <w:rsid w:val="6CA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EDAF"/>
  <w15:docId w15:val="{E03BBCE4-C19A-46D6-911A-78CEDB01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320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p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tp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626B88-60BC-4844-9E7D-40743444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Razvan Nastase</dc:creator>
  <cp:lastModifiedBy>Monica Popescu</cp:lastModifiedBy>
  <cp:revision>3</cp:revision>
  <dcterms:created xsi:type="dcterms:W3CDTF">2020-04-09T07:21:00Z</dcterms:created>
  <dcterms:modified xsi:type="dcterms:W3CDTF">2020-04-09T07:21:00Z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